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 w:val="false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УКАЗ</w:t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p>
      <w:pPr>
        <w:ind w:left="0" w:right="0" w:firstLine="0"/>
        <w:jc w:val="center"/>
        <w:spacing w:after="0" w:before="0"/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ГУБЕРНАТОРА БРЯНСКОЙ ОБЛАСТИ</w:t>
      </w:r>
      <w:r>
        <w:rPr>
          <w:rFonts w:ascii="Times New Roman" w:hAnsi="Times New Roman" w:cs="Times New Roman" w:eastAsia="Times New Roman"/>
          <w:b w:val="false"/>
          <w:sz w:val="28"/>
        </w:rPr>
      </w:r>
      <w:r/>
    </w:p>
    <w:p>
      <w:pPr>
        <w:ind w:right="2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050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40425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style="mso-wrap-distance-left:0.0pt;mso-wrap-distance-top:0.0pt;mso-wrap-distance-right:0.0pt;mso-wrap-distance-bottom:0.0pt;width:467.8pt;height:1.5pt;" coordsize="100000,100000" path="" fillcolor="#000000" stroked="f">
                <v:path textboxrect="0,0,0,0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от ______________ 2024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г.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№ ______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         г. Брянск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495"/>
      </w:tblGrid>
      <w:tr>
        <w:trPr/>
        <w:tc>
          <w:tcPr>
            <w:tcW w:w="5495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Об установлении размера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еж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емесячного пособия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гибших (умерших) при исполнении обязанностей военной службы (служебных, должностных обязанностей)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 соответствии со статьей 2 </w:t>
      </w:r>
      <w:r>
        <w:rPr>
          <w:rFonts w:ascii="Times New Roman" w:hAnsi="Times New Roman" w:cs="Times New Roman" w:eastAsia="Times New Roman"/>
          <w:sz w:val="28"/>
        </w:rPr>
        <w:t xml:space="preserve">Закона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Брянской области от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6 июля 2007 года № 95-З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О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ежемесячном пособии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погибших (умерших) при исполнении обязанностей военной службы (служебных, должностных обязанностей)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»</w:t>
      </w:r>
      <w:r/>
    </w:p>
    <w:p>
      <w:pPr>
        <w:ind w:left="0" w:right="0" w:firstLine="709"/>
        <w:jc w:val="both"/>
        <w:spacing w:after="0" w:before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ПОСТАНОВЛЯЮ</w:t>
      </w:r>
      <w:r>
        <w:rPr>
          <w:rFonts w:ascii="Times New Roman" w:hAnsi="Times New Roman" w:cs="Times New Roman" w:eastAsia="Times New Roman"/>
          <w:sz w:val="28"/>
        </w:rPr>
        <w:t xml:space="preserve">:</w:t>
      </w:r>
      <w:r/>
    </w:p>
    <w:p>
      <w:pPr>
        <w:ind w:left="0" w:right="0" w:firstLine="709"/>
        <w:jc w:val="both"/>
        <w:spacing w:after="0"/>
        <w:rPr>
          <w:rFonts w:ascii="Times New Roman" w:hAnsi="Times New Roman" w:cs="Times New Roman" w:eastAsia="Calibri"/>
          <w:color w:val="000000"/>
          <w:sz w:val="28"/>
          <w:szCs w:val="28"/>
          <w:lang w:eastAsia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color w:val="000000"/>
          <w:sz w:val="28"/>
          <w:szCs w:val="28"/>
          <w:lang w:eastAsia="ru-RU"/>
        </w:rPr>
      </w:r>
      <w:r/>
    </w:p>
    <w:p>
      <w:pPr>
        <w:ind w:left="0" w:right="0" w:firstLine="709"/>
        <w:jc w:val="both"/>
        <w:spacing w:lineRule="auto" w:line="276" w:after="0"/>
        <w:widowControl w:val="off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Установить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ежемесячное пособие родителям и вдовам (вдовцам) отдельных категорий военнослужащих, сотрудников федеральных государственных органов, лиц, поступивших в добровольческие формирования, работников специализированного государственного унитарного предприятия,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погибших (умерших) при исполнении обязанностей военной службы (служебных, должностных обязанностей)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,  в  размере 56 014 рублей 60 копеек.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</w:r>
      <w:r/>
    </w:p>
    <w:p>
      <w:pPr>
        <w:ind w:left="0" w:right="0" w:firstLine="709"/>
        <w:jc w:val="both"/>
        <w:spacing w:lineRule="auto" w:line="276" w:after="0"/>
        <w:widowControl w:val="off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. Указ вступает в силу с 1 января 2025 года.</w:t>
      </w:r>
      <w:r/>
    </w:p>
    <w:p>
      <w:pPr>
        <w:ind w:left="0" w:right="0" w:firstLine="709"/>
        <w:jc w:val="both"/>
        <w:spacing w:lineRule="auto" w:line="276" w:after="0"/>
        <w:widowControl w:val="off"/>
        <w:rPr>
          <w:rFonts w:ascii="Times New Roman" w:hAnsi="Times New Roman" w:cs="Times New Roman" w:eastAsia="Calibri"/>
          <w:sz w:val="28"/>
          <w:szCs w:val="28"/>
          <w:lang w:eastAsia="ru-RU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3. Признать утратившим силу указ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Губерн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атора Брянской области от 19 декабря 2023 года № 188 «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Об установлении размера ежемесячного пособия постоянно проживающим на территории Брянской области родителям и вдовам (вдовцам) военнослужащих, военнослужащих и сотрудников войск национальной гвардии, органов федеральной службы безопасности, военнослужащих о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рганов государственной охраны, сотрудников органов внутренних дел, органов и учреждений уголовно-исполнительной системы, лиц, поступивших в добровольческие формирования, созданные в соответствии со статьей 22.1 Федерального закона от 31 мая 1996 года N 61-Ф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З "Об обороне", погибших (умерших) при исполнении обязанностей военной службы (служебных обязанностей)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 w:eastAsia="Calibri"/>
          <w:sz w:val="28"/>
          <w:szCs w:val="28"/>
          <w:lang w:val="en-US"/>
        </w:rPr>
        <w:t xml:space="preserve"> c 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1 января 2025 года</w:t>
      </w:r>
      <w:r>
        <w:rPr>
          <w:rFonts w:ascii="Times New Roman" w:hAnsi="Times New Roman" w:cs="Times New Roman" w:eastAsia="Calibri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Calibri"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spacing w:lineRule="auto" w:line="276" w:after="0"/>
        <w:widowControl w:val="off"/>
        <w:rPr>
          <w:rFonts w:ascii="Times New Roman" w:hAnsi="Times New Roman" w:cs="Times New Roman" w:eastAsia="Calibri"/>
          <w:sz w:val="28"/>
          <w:szCs w:val="28"/>
          <w:highlight w:val="whit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 w:eastAsia="Times New Roman"/>
          <w:sz w:val="28"/>
          <w:szCs w:val="28"/>
          <w:highlight w:val="none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исполнением указа возложить на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заместителя Губернатора Брянской области 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Агафонов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 И.В.</w:t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yellow"/>
        </w:rPr>
        <w:outlineLvl w:val="0"/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highlight w:val="yellow"/>
        </w:rPr>
        <w:outlineLvl w:val="0"/>
      </w:pPr>
      <w:r>
        <w:rPr>
          <w:rFonts w:ascii="Times New Roman" w:hAnsi="Times New Roman" w:cs="Times New Roman" w:eastAsia="Times New Roman"/>
          <w:sz w:val="28"/>
          <w:szCs w:val="28"/>
          <w:highlight w:val="yellow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Губернатор 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А.В. Богомаз</w:t>
            </w:r>
            <w:r/>
          </w:p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Заместитель Губернатора</w:t>
            </w:r>
            <w:r/>
          </w:p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Брянской области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ab/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Ю.В. Филипенко</w:t>
            </w:r>
            <w:r/>
          </w:p>
        </w:tc>
      </w:tr>
    </w:tbl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департамента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 социальной политики и занятости населения Брянской области 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Е.А. Петров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Начальник отдела делопроизводства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spacing w:lineRule="auto" w:line="240" w:after="0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Н.В. Митрошина</w:t>
            </w:r>
            <w:r/>
          </w:p>
        </w:tc>
      </w:tr>
    </w:tbl>
    <w:p>
      <w:pPr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val="en-US"/>
        </w:rPr>
      </w:pPr>
      <w:r>
        <w:rPr>
          <w:rFonts w:ascii="Times New Roman" w:hAnsi="Times New Roman" w:cs="Times New Roman" w:eastAsia="Times New Roman"/>
          <w:sz w:val="28"/>
          <w:szCs w:val="28"/>
          <w:lang w:val="en-US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</w:r>
      <w:r>
        <w:rPr>
          <w:sz w:val="20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Барищева</w:t>
      </w:r>
      <w:r>
        <w:rPr>
          <w:rFonts w:ascii="Times New Roman" w:hAnsi="Times New Roman" w:cs="Times New Roman" w:eastAsia="Times New Roman"/>
          <w:sz w:val="24"/>
          <w:szCs w:val="28"/>
        </w:rPr>
        <w:t xml:space="preserve"> А.Д.</w:t>
      </w:r>
      <w:r>
        <w:rPr>
          <w:sz w:val="20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4"/>
          <w:szCs w:val="28"/>
        </w:rPr>
      </w:pPr>
      <w:r>
        <w:rPr>
          <w:rFonts w:ascii="Times New Roman" w:hAnsi="Times New Roman" w:cs="Times New Roman" w:eastAsia="Times New Roman"/>
          <w:sz w:val="24"/>
          <w:szCs w:val="28"/>
        </w:rPr>
        <w:t xml:space="preserve">30 31 27</w:t>
      </w:r>
      <w:r>
        <w:rPr>
          <w:sz w:val="20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7"/>
    <w:next w:val="817"/>
    <w:link w:val="64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41">
    <w:name w:val="Heading 1 Char"/>
    <w:basedOn w:val="818"/>
    <w:link w:val="640"/>
    <w:uiPriority w:val="9"/>
    <w:rPr>
      <w:rFonts w:ascii="Arial" w:hAnsi="Arial" w:cs="Arial" w:eastAsia="Arial"/>
      <w:sz w:val="40"/>
      <w:szCs w:val="40"/>
    </w:rPr>
  </w:style>
  <w:style w:type="paragraph" w:styleId="642">
    <w:name w:val="Heading 2"/>
    <w:basedOn w:val="817"/>
    <w:next w:val="817"/>
    <w:link w:val="64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43">
    <w:name w:val="Heading 2 Char"/>
    <w:basedOn w:val="818"/>
    <w:link w:val="642"/>
    <w:uiPriority w:val="9"/>
    <w:rPr>
      <w:rFonts w:ascii="Arial" w:hAnsi="Arial" w:cs="Arial" w:eastAsia="Arial"/>
      <w:sz w:val="34"/>
    </w:rPr>
  </w:style>
  <w:style w:type="paragraph" w:styleId="644">
    <w:name w:val="Heading 3"/>
    <w:basedOn w:val="817"/>
    <w:next w:val="817"/>
    <w:link w:val="64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5">
    <w:name w:val="Heading 3 Char"/>
    <w:basedOn w:val="818"/>
    <w:link w:val="644"/>
    <w:uiPriority w:val="9"/>
    <w:rPr>
      <w:rFonts w:ascii="Arial" w:hAnsi="Arial" w:cs="Arial" w:eastAsia="Arial"/>
      <w:sz w:val="30"/>
      <w:szCs w:val="30"/>
    </w:rPr>
  </w:style>
  <w:style w:type="paragraph" w:styleId="646">
    <w:name w:val="Heading 4"/>
    <w:basedOn w:val="817"/>
    <w:next w:val="817"/>
    <w:link w:val="64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7">
    <w:name w:val="Heading 4 Char"/>
    <w:basedOn w:val="818"/>
    <w:link w:val="646"/>
    <w:uiPriority w:val="9"/>
    <w:rPr>
      <w:rFonts w:ascii="Arial" w:hAnsi="Arial" w:cs="Arial" w:eastAsia="Arial"/>
      <w:b/>
      <w:bCs/>
      <w:sz w:val="26"/>
      <w:szCs w:val="26"/>
    </w:rPr>
  </w:style>
  <w:style w:type="paragraph" w:styleId="648">
    <w:name w:val="Heading 5"/>
    <w:basedOn w:val="817"/>
    <w:next w:val="817"/>
    <w:link w:val="64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9">
    <w:name w:val="Heading 5 Char"/>
    <w:basedOn w:val="818"/>
    <w:link w:val="648"/>
    <w:uiPriority w:val="9"/>
    <w:rPr>
      <w:rFonts w:ascii="Arial" w:hAnsi="Arial" w:cs="Arial" w:eastAsia="Arial"/>
      <w:b/>
      <w:bCs/>
      <w:sz w:val="24"/>
      <w:szCs w:val="24"/>
    </w:rPr>
  </w:style>
  <w:style w:type="paragraph" w:styleId="650">
    <w:name w:val="Heading 6"/>
    <w:basedOn w:val="817"/>
    <w:next w:val="817"/>
    <w:link w:val="65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51">
    <w:name w:val="Heading 6 Char"/>
    <w:basedOn w:val="818"/>
    <w:link w:val="650"/>
    <w:uiPriority w:val="9"/>
    <w:rPr>
      <w:rFonts w:ascii="Arial" w:hAnsi="Arial" w:cs="Arial" w:eastAsia="Arial"/>
      <w:b/>
      <w:bCs/>
      <w:sz w:val="22"/>
      <w:szCs w:val="22"/>
    </w:rPr>
  </w:style>
  <w:style w:type="paragraph" w:styleId="652">
    <w:name w:val="Heading 7"/>
    <w:basedOn w:val="817"/>
    <w:next w:val="817"/>
    <w:link w:val="65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53">
    <w:name w:val="Heading 7 Char"/>
    <w:basedOn w:val="818"/>
    <w:link w:val="65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4">
    <w:name w:val="Heading 8"/>
    <w:basedOn w:val="817"/>
    <w:next w:val="817"/>
    <w:link w:val="65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5">
    <w:name w:val="Heading 8 Char"/>
    <w:basedOn w:val="818"/>
    <w:link w:val="654"/>
    <w:uiPriority w:val="9"/>
    <w:rPr>
      <w:rFonts w:ascii="Arial" w:hAnsi="Arial" w:cs="Arial" w:eastAsia="Arial"/>
      <w:i/>
      <w:iCs/>
      <w:sz w:val="22"/>
      <w:szCs w:val="22"/>
    </w:rPr>
  </w:style>
  <w:style w:type="paragraph" w:styleId="656">
    <w:name w:val="Heading 9"/>
    <w:basedOn w:val="817"/>
    <w:next w:val="817"/>
    <w:link w:val="65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7">
    <w:name w:val="Heading 9 Char"/>
    <w:basedOn w:val="818"/>
    <w:link w:val="656"/>
    <w:uiPriority w:val="9"/>
    <w:rPr>
      <w:rFonts w:ascii="Arial" w:hAnsi="Arial" w:cs="Arial" w:eastAsia="Arial"/>
      <w:i/>
      <w:iCs/>
      <w:sz w:val="21"/>
      <w:szCs w:val="21"/>
    </w:rPr>
  </w:style>
  <w:style w:type="paragraph" w:styleId="658">
    <w:name w:val="No Spacing"/>
    <w:qFormat/>
    <w:uiPriority w:val="1"/>
    <w:pPr>
      <w:spacing w:lineRule="auto" w:line="240" w:after="0" w:before="0"/>
    </w:pPr>
  </w:style>
  <w:style w:type="paragraph" w:styleId="659">
    <w:name w:val="Title"/>
    <w:basedOn w:val="817"/>
    <w:next w:val="817"/>
    <w:link w:val="66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60">
    <w:name w:val="Title Char"/>
    <w:basedOn w:val="818"/>
    <w:link w:val="659"/>
    <w:uiPriority w:val="10"/>
    <w:rPr>
      <w:sz w:val="48"/>
      <w:szCs w:val="48"/>
    </w:rPr>
  </w:style>
  <w:style w:type="paragraph" w:styleId="661">
    <w:name w:val="Subtitle"/>
    <w:basedOn w:val="817"/>
    <w:next w:val="817"/>
    <w:link w:val="662"/>
    <w:qFormat/>
    <w:uiPriority w:val="11"/>
    <w:rPr>
      <w:sz w:val="24"/>
      <w:szCs w:val="24"/>
    </w:rPr>
    <w:pPr>
      <w:spacing w:after="200" w:before="200"/>
    </w:pPr>
  </w:style>
  <w:style w:type="character" w:styleId="662">
    <w:name w:val="Subtitle Char"/>
    <w:basedOn w:val="818"/>
    <w:link w:val="661"/>
    <w:uiPriority w:val="11"/>
    <w:rPr>
      <w:sz w:val="24"/>
      <w:szCs w:val="24"/>
    </w:rPr>
  </w:style>
  <w:style w:type="paragraph" w:styleId="663">
    <w:name w:val="Quote"/>
    <w:basedOn w:val="817"/>
    <w:next w:val="817"/>
    <w:link w:val="664"/>
    <w:qFormat/>
    <w:uiPriority w:val="29"/>
    <w:rPr>
      <w:i/>
    </w:rPr>
    <w:pPr>
      <w:ind w:left="720" w:right="720"/>
    </w:p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7"/>
    <w:next w:val="817"/>
    <w:link w:val="666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7"/>
    <w:link w:val="6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8"/>
    <w:link w:val="667"/>
    <w:uiPriority w:val="99"/>
  </w:style>
  <w:style w:type="paragraph" w:styleId="669">
    <w:name w:val="Footer"/>
    <w:basedOn w:val="817"/>
    <w:link w:val="67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8"/>
    <w:link w:val="669"/>
    <w:uiPriority w:val="99"/>
  </w:style>
  <w:style w:type="paragraph" w:styleId="671">
    <w:name w:val="Caption"/>
    <w:basedOn w:val="817"/>
    <w:next w:val="8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72">
    <w:name w:val="Caption Char"/>
    <w:basedOn w:val="671"/>
    <w:link w:val="669"/>
    <w:uiPriority w:val="99"/>
  </w:style>
  <w:style w:type="table" w:styleId="673">
    <w:name w:val="Table Grid"/>
    <w:basedOn w:val="8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0">
    <w:name w:val="Grid Table 1 Light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2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2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2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3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3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3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4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02">
    <w:name w:val="Grid Table 4 - Accent 1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3">
    <w:name w:val="Grid Table 4 - Accent 2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4">
    <w:name w:val="Grid Table 4 - Accent 3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5">
    <w:name w:val="Grid Table 4 - Accent 4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6">
    <w:name w:val="Grid Table 4 - Accent 5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7">
    <w:name w:val="Grid Table 4 - Accent 6"/>
    <w:basedOn w:val="8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8">
    <w:name w:val="Grid Table 5 Dark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Fill="accent1" w:themeFillTint="34" w:themeColor="accent1" w:themeTint="34"/>
    </w:tblPr>
    <w:tblStylePr w:type="band1Horz">
      <w:tcPr>
        <w:shd w:val="clear" w:color="FFFFFF" w:fill="ADC5E0" w:themeFill="accent1" w:themeFillTint="75" w:themeColor="accent1" w:themeTint="75"/>
      </w:tcPr>
    </w:tblStylePr>
    <w:tblStylePr w:type="band1Vert">
      <w:tcPr>
        <w:shd w:val="clear" w:color="FFFFFF" w:fill="ADC5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Fill="accent2" w:themeFillTint="32" w:themeColor="accent2" w:themeTint="32"/>
    </w:tblPr>
    <w:tblStylePr w:type="band1Horz">
      <w:tcPr>
        <w:shd w:val="clear" w:color="FFFFFF" w:fill="E1ADAC" w:themeFill="accent2" w:themeFillTint="75" w:themeColor="accent2" w:themeTint="75"/>
      </w:tcPr>
    </w:tblStylePr>
    <w:tblStylePr w:type="band1Vert">
      <w:tcPr>
        <w:shd w:val="clear" w:color="FFFFFF" w:fill="E1ADAC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Fill="accent3" w:themeFillTint="34" w:themeColor="accent3" w:themeTint="34"/>
    </w:tblPr>
    <w:tblStylePr w:type="band1Horz">
      <w:tcPr>
        <w:shd w:val="clear" w:color="FFFFFF" w:fill="D1DFB2" w:themeFill="accent3" w:themeFillTint="75" w:themeColor="accent3" w:themeTint="75"/>
      </w:tcPr>
    </w:tblStylePr>
    <w:tblStylePr w:type="band1Vert">
      <w:tcPr>
        <w:shd w:val="clear" w:color="FFFFFF" w:fill="D1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712">
    <w:name w:val="Grid Table 5 Dark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4B7D4" w:themeFill="accent4" w:themeFillTint="75" w:themeColor="accent4" w:themeTint="75"/>
      </w:tcPr>
    </w:tblStylePr>
    <w:tblStylePr w:type="band1Vert">
      <w:tcPr>
        <w:shd w:val="clear" w:color="FFFFFF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713">
    <w:name w:val="Grid Table 5 Dark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BD9E4" w:themeFill="accent5" w:themeFillTint="75" w:themeColor="accent5" w:themeTint="75"/>
      </w:tcPr>
    </w:tblStylePr>
    <w:tblStylePr w:type="band1Vert">
      <w:tcPr>
        <w:shd w:val="clear" w:color="FFFFFF" w:fill="ABD9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714">
    <w:name w:val="Grid Table 5 Dark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Fill="accent6" w:themeFillTint="34" w:themeColor="accent6" w:themeTint="34"/>
    </w:tblPr>
    <w:tblStylePr w:type="band1Horz">
      <w:tcPr>
        <w:shd w:val="clear" w:color="FFFFFF" w:fill="FBCDA8" w:themeFill="accent6" w:themeFillTint="75" w:themeColor="accent6" w:themeTint="75"/>
      </w:tcPr>
    </w:tblStylePr>
    <w:tblStylePr w:type="band1Vert">
      <w:tcPr>
        <w:shd w:val="clear" w:color="FFFFFF" w:fill="FBCD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715">
    <w:name w:val="Grid Table 6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tcPr>
        <w:shd w:val="clear" w:color="FFFFFF" w:fill="DAE5F1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tcPr>
        <w:shd w:val="clear" w:color="FFFFFF" w:fill="F2DCDB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tcPr>
        <w:shd w:val="clear" w:color="FFFFFF" w:fill="EAF0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tcPr>
        <w:shd w:val="clear" w:color="FFFFFF" w:fill="FDE9D8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Fill="accent1" w:themeFillTint="34" w:themeColor="accent1" w:themeTint="34"/>
      </w:tcPr>
    </w:tblStylePr>
    <w:tblStylePr w:type="band1Vert">
      <w:tcPr>
        <w:shd w:val="clear" w:color="FFFFFF" w:fill="DAE5F1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Fill="accent2" w:themeFillTint="32" w:themeColor="accent2" w:themeTint="32"/>
      </w:tcPr>
    </w:tblStylePr>
    <w:tblStylePr w:type="band1Vert">
      <w:tcPr>
        <w:shd w:val="clear" w:color="FFFFFF" w:fill="F2DCDB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Fill="accent3" w:themeFillTint="34" w:themeColor="accent3" w:themeTint="34"/>
      </w:tcPr>
    </w:tblStylePr>
    <w:tblStylePr w:type="band1Vert">
      <w:tcPr>
        <w:shd w:val="clear" w:color="FFFFFF" w:fill="EAF0DD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7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7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7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Fill="accent6" w:themeFillTint="34" w:themeColor="accent6" w:themeTint="34"/>
      </w:tcPr>
    </w:tblStylePr>
    <w:tblStylePr w:type="band1Vert">
      <w:tcPr>
        <w:shd w:val="clear" w:color="FFFFFF" w:fill="FDE9D8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1 Light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List Table 1 Light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List Table 1 Light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List Table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7">
    <w:name w:val="List Table 2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8">
    <w:name w:val="List Table 2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9">
    <w:name w:val="List Table 2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40">
    <w:name w:val="List Table 2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41">
    <w:name w:val="List Table 2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42">
    <w:name w:val="List Table 2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3">
    <w:name w:val="List Table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Fill="accent2" w:themeFillTint="97" w:themeColor="accent2" w:themeTint="97"/>
    </w:tblPr>
    <w:tblStylePr w:type="band1Horz">
      <w:tcPr>
        <w:shd w:val="clear" w:color="FFFFFF" w:fill="D99694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Fill="accent3" w:themeFillTint="98" w:themeColor="accent3" w:themeTint="98"/>
    </w:tblPr>
    <w:tblStylePr w:type="band1Horz">
      <w:tcPr>
        <w:shd w:val="clear" w:color="FFFFFF" w:fill="C3D69B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Fill="accent4" w:themeFillTint="9A" w:themeColor="accent4" w:themeTint="9A"/>
    </w:tblPr>
    <w:tblStylePr w:type="band1Horz">
      <w:tcPr>
        <w:shd w:val="clear" w:color="FFFFFF" w:fill="B2A1C6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Fill="accent5" w:themeFillTint="9A" w:themeColor="accent5" w:themeTint="9A"/>
    </w:tblPr>
    <w:tblStylePr w:type="band1Horz">
      <w:tcPr>
        <w:shd w:val="clear" w:color="FFFFFF" w:fill="91CDDC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Fill="accent6" w:themeFillTint="98" w:themeColor="accent6" w:themeTint="98"/>
    </w:tblPr>
    <w:tblStylePr w:type="band1Horz">
      <w:tcPr>
        <w:shd w:val="clear" w:color="FFFFFF" w:fill="F9BF90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5">
    <w:name w:val="List Table 6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6">
    <w:name w:val="List Table 6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7">
    <w:name w:val="List Table 6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8">
    <w:name w:val="List Table 6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9">
    <w:name w:val="List Table 6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70">
    <w:name w:val="List Table 6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71">
    <w:name w:val="List Table 7 Colorful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Fill="accent1" w:themeFillTint="40" w:themeColor="accent1" w:themeTint="40"/>
      </w:tcPr>
    </w:tblStylePr>
    <w:tblStylePr w:type="band1Vert">
      <w:tcPr>
        <w:shd w:val="clear" w:color="FFFFFF" w:fill="D3E0EE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3">
    <w:name w:val="List Table 7 Colorful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4">
    <w:name w:val="List Table 7 Colorful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5">
    <w:name w:val="List Table 7 Colorful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Fill="accent4" w:themeFillTint="40" w:themeColor="accent4" w:themeTint="40"/>
      </w:tcPr>
    </w:tblStylePr>
    <w:tblStylePr w:type="band1Vert">
      <w:tcPr>
        <w:shd w:val="clear" w:color="FFFFFF" w:fill="DFD8E7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6">
    <w:name w:val="List Table 7 Colorful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Fill="accent5" w:themeFillTint="40" w:themeColor="accent5" w:themeTint="40"/>
      </w:tcPr>
    </w:tblStylePr>
    <w:tblStylePr w:type="band1Vert">
      <w:tcPr>
        <w:shd w:val="clear" w:color="FFFFFF" w:fill="D1EAF0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7">
    <w:name w:val="List Table 7 Colorful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Fill="accent6" w:themeFillTint="40" w:themeColor="accent6" w:themeTint="40"/>
      </w:tcPr>
    </w:tblStylePr>
    <w:tblStylePr w:type="band1Vert">
      <w:tcPr>
        <w:shd w:val="clear" w:color="FFFFFF" w:fill="FCE4D1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8">
    <w:name w:val="Lined - Accent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79">
    <w:name w:val="Lined - Accent 1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</w:style>
  <w:style w:type="table" w:styleId="780">
    <w:name w:val="Lined - Accent 2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</w:style>
  <w:style w:type="table" w:styleId="781">
    <w:name w:val="Lined - Accent 3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</w:style>
  <w:style w:type="table" w:styleId="782">
    <w:name w:val="Lined - Accent 4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</w:style>
  <w:style w:type="table" w:styleId="783">
    <w:name w:val="Lined - Accent 5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84">
    <w:name w:val="Lined - Accent 6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85">
    <w:name w:val="Bordered &amp; Lined - Accent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86">
    <w:name w:val="Bordered &amp; Lined - Accent 1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Fill="accent1" w:themeFillTint="EA" w:themeColor="accent1" w:themeTint="EA"/>
      </w:tcPr>
    </w:tblStylePr>
  </w:style>
  <w:style w:type="table" w:styleId="787">
    <w:name w:val="Bordered &amp; Lined - Accent 2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Fill="accent2" w:themeFillTint="97" w:themeColor="accent2" w:themeTint="97"/>
      </w:tcPr>
    </w:tblStylePr>
  </w:style>
  <w:style w:type="table" w:styleId="788">
    <w:name w:val="Bordered &amp; Lined - Accent 3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Fill="accent3" w:themeFillTint="FE" w:themeColor="accent3" w:themeTint="FE"/>
      </w:tcPr>
    </w:tblStylePr>
  </w:style>
  <w:style w:type="table" w:styleId="789">
    <w:name w:val="Bordered &amp; Lined - Accent 4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 w:themeColor="accent4" w:themeTint="9A"/>
      </w:tcPr>
    </w:tblStylePr>
  </w:style>
  <w:style w:type="table" w:styleId="790">
    <w:name w:val="Bordered &amp; Lined - Accent 5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91">
    <w:name w:val="Bordered &amp; Lined - Accent 6"/>
    <w:basedOn w:val="8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92">
    <w:name w:val="Bordered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3">
    <w:name w:val="Bordered - Accent 1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4">
    <w:name w:val="Bordered - Accent 2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5">
    <w:name w:val="Bordered - Accent 3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6">
    <w:name w:val="Bordered - Accent 4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7">
    <w:name w:val="Bordered - Accent 5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8">
    <w:name w:val="Bordered - Accent 6"/>
    <w:basedOn w:val="8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9">
    <w:name w:val="Hyperlink"/>
    <w:uiPriority w:val="99"/>
    <w:unhideWhenUsed/>
    <w:rPr>
      <w:color w:val="0000FF" w:themeColor="hyperlink"/>
      <w:u w:val="single"/>
    </w:rPr>
  </w:style>
  <w:style w:type="paragraph" w:styleId="800">
    <w:name w:val="footnote text"/>
    <w:basedOn w:val="817"/>
    <w:link w:val="801"/>
    <w:uiPriority w:val="99"/>
    <w:semiHidden/>
    <w:unhideWhenUsed/>
    <w:rPr>
      <w:sz w:val="18"/>
    </w:rPr>
    <w:pPr>
      <w:spacing w:lineRule="auto" w:line="240" w:after="40"/>
    </w:pPr>
  </w:style>
  <w:style w:type="character" w:styleId="801">
    <w:name w:val="Footnote Text Char"/>
    <w:link w:val="800"/>
    <w:uiPriority w:val="99"/>
    <w:rPr>
      <w:sz w:val="18"/>
    </w:rPr>
  </w:style>
  <w:style w:type="character" w:styleId="802">
    <w:name w:val="footnote reference"/>
    <w:basedOn w:val="818"/>
    <w:uiPriority w:val="99"/>
    <w:unhideWhenUsed/>
    <w:rPr>
      <w:vertAlign w:val="superscript"/>
    </w:rPr>
  </w:style>
  <w:style w:type="paragraph" w:styleId="803">
    <w:name w:val="endnote text"/>
    <w:basedOn w:val="817"/>
    <w:link w:val="804"/>
    <w:uiPriority w:val="99"/>
    <w:semiHidden/>
    <w:unhideWhenUsed/>
    <w:rPr>
      <w:sz w:val="20"/>
    </w:rPr>
    <w:pPr>
      <w:spacing w:lineRule="auto" w:line="240" w:after="0"/>
    </w:pPr>
  </w:style>
  <w:style w:type="character" w:styleId="804">
    <w:name w:val="Endnote Text Char"/>
    <w:link w:val="803"/>
    <w:uiPriority w:val="99"/>
    <w:rPr>
      <w:sz w:val="20"/>
    </w:rPr>
  </w:style>
  <w:style w:type="character" w:styleId="805">
    <w:name w:val="endnote reference"/>
    <w:basedOn w:val="818"/>
    <w:uiPriority w:val="99"/>
    <w:semiHidden/>
    <w:unhideWhenUsed/>
    <w:rPr>
      <w:vertAlign w:val="superscript"/>
    </w:rPr>
  </w:style>
  <w:style w:type="paragraph" w:styleId="806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7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8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9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10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11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12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3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4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5">
    <w:name w:val="TOC Heading"/>
    <w:uiPriority w:val="39"/>
    <w:unhideWhenUsed/>
  </w:style>
  <w:style w:type="paragraph" w:styleId="816">
    <w:name w:val="table of figures"/>
    <w:basedOn w:val="817"/>
    <w:next w:val="817"/>
    <w:uiPriority w:val="99"/>
    <w:unhideWhenUsed/>
    <w:pPr>
      <w:spacing w:after="0" w:afterAutospacing="0"/>
    </w:pPr>
  </w:style>
  <w:style w:type="paragraph" w:styleId="817" w:default="1">
    <w:name w:val="Normal"/>
    <w:qFormat/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Balloon Text"/>
    <w:basedOn w:val="817"/>
    <w:link w:val="82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22" w:customStyle="1">
    <w:name w:val="Текст выноски Знак"/>
    <w:basedOn w:val="818"/>
    <w:link w:val="821"/>
    <w:uiPriority w:val="99"/>
    <w:semiHidden/>
    <w:rPr>
      <w:rFonts w:ascii="Tahoma" w:hAnsi="Tahoma" w:cs="Tahoma"/>
      <w:sz w:val="16"/>
      <w:szCs w:val="16"/>
    </w:rPr>
  </w:style>
  <w:style w:type="paragraph" w:styleId="823">
    <w:name w:val="List Paragraph"/>
    <w:basedOn w:val="817"/>
    <w:qFormat/>
    <w:uiPriority w:val="34"/>
    <w:rPr>
      <w:rFonts w:eastAsia="Times New Roman"/>
      <w:lang w:eastAsia="ru-RU"/>
    </w:rPr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Барищева Анастасия Дмитриевна</dc:creator>
  <cp:revision>48</cp:revision>
  <dcterms:created xsi:type="dcterms:W3CDTF">2021-10-08T09:55:00Z</dcterms:created>
  <dcterms:modified xsi:type="dcterms:W3CDTF">2024-11-26T13:22:23Z</dcterms:modified>
</cp:coreProperties>
</file>